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826A4D" w14:textId="61A41F50" w:rsidR="00D73EC6" w:rsidRPr="00D73EC6" w:rsidRDefault="00D73EC6" w:rsidP="00D73EC6">
      <w:pPr>
        <w:spacing w:after="0" w:line="480" w:lineRule="auto"/>
        <w:rPr>
          <w:rFonts w:ascii="Times New Roman" w:eastAsia="Times New Roman" w:hAnsi="Times New Roman" w:cs="Times New Roman"/>
          <w:b/>
          <w:sz w:val="24"/>
          <w:szCs w:val="24"/>
          <w:lang w:val="en-GB"/>
        </w:rPr>
      </w:pPr>
      <w:r w:rsidRPr="00D73EC6">
        <w:rPr>
          <w:rFonts w:ascii="Times New Roman" w:eastAsia="Times New Roman" w:hAnsi="Times New Roman" w:cs="Times New Roman"/>
          <w:b/>
          <w:sz w:val="24"/>
          <w:szCs w:val="24"/>
          <w:lang w:val="en-GB"/>
        </w:rPr>
        <w:t>Additional File 1</w:t>
      </w:r>
      <w:r w:rsidR="008B78FE">
        <w:rPr>
          <w:rFonts w:ascii="Times New Roman" w:eastAsia="Times New Roman" w:hAnsi="Times New Roman" w:cs="Times New Roman"/>
          <w:b/>
          <w:sz w:val="24"/>
          <w:szCs w:val="24"/>
          <w:lang w:val="en-GB"/>
        </w:rPr>
        <w:t xml:space="preserve">: </w:t>
      </w:r>
      <w:r w:rsidRPr="00D73EC6">
        <w:rPr>
          <w:rFonts w:ascii="Times New Roman" w:eastAsia="Times New Roman" w:hAnsi="Times New Roman" w:cs="Times New Roman"/>
          <w:b/>
          <w:sz w:val="24"/>
          <w:szCs w:val="24"/>
          <w:lang w:val="en-GB"/>
        </w:rPr>
        <w:t>Adverse Events</w:t>
      </w:r>
      <w:bookmarkStart w:id="0" w:name="_GoBack"/>
      <w:bookmarkEnd w:id="0"/>
    </w:p>
    <w:p w14:paraId="3D34B3E9" w14:textId="77777777" w:rsidR="00D73EC6" w:rsidRPr="00D73EC6" w:rsidRDefault="00D73EC6" w:rsidP="00D73EC6">
      <w:pPr>
        <w:spacing w:after="0" w:line="480" w:lineRule="auto"/>
        <w:rPr>
          <w:rFonts w:ascii="Times New Roman" w:eastAsia="Times New Roman" w:hAnsi="Times New Roman" w:cs="Times New Roman"/>
          <w:b/>
          <w:bCs/>
          <w:i/>
          <w:sz w:val="24"/>
          <w:szCs w:val="24"/>
          <w:lang w:val="en-GB"/>
        </w:rPr>
      </w:pPr>
      <w:r w:rsidRPr="00D73EC6">
        <w:rPr>
          <w:rFonts w:ascii="Times New Roman" w:eastAsia="Times New Roman" w:hAnsi="Times New Roman" w:cs="Times New Roman"/>
          <w:b/>
          <w:bCs/>
          <w:i/>
          <w:sz w:val="24"/>
          <w:szCs w:val="24"/>
          <w:lang w:val="en-GB"/>
        </w:rPr>
        <w:t>Intervention families</w:t>
      </w:r>
    </w:p>
    <w:p w14:paraId="29E6C45E" w14:textId="77777777" w:rsidR="00D73EC6" w:rsidRPr="00D73EC6" w:rsidRDefault="00D73EC6" w:rsidP="00D73EC6">
      <w:pPr>
        <w:spacing w:after="0" w:line="480" w:lineRule="auto"/>
        <w:rPr>
          <w:rFonts w:ascii="Times New Roman" w:eastAsia="Times New Roman" w:hAnsi="Times New Roman" w:cs="Times New Roman"/>
          <w:bCs/>
          <w:sz w:val="24"/>
          <w:szCs w:val="24"/>
          <w:lang w:val="en-GB"/>
        </w:rPr>
      </w:pPr>
      <w:r w:rsidRPr="00D73EC6">
        <w:rPr>
          <w:rFonts w:ascii="Times New Roman" w:eastAsia="Times New Roman" w:hAnsi="Times New Roman" w:cs="Times New Roman"/>
          <w:bCs/>
          <w:sz w:val="24"/>
          <w:szCs w:val="24"/>
          <w:lang w:val="en-GB"/>
        </w:rPr>
        <w:t xml:space="preserve">In the intervention families five risk of harm cases—all related to caregiver suicidality—were identified during the baseline assessment. One risk of harm case—a violent attack by neighbours—occurred during the intervention. Six risk of harm cases occurred at midline in the intervention families. Of these, five were related to suicidality in the primary caregiver and one was related to severe intimate partner violence. </w:t>
      </w:r>
    </w:p>
    <w:p w14:paraId="15081202" w14:textId="77777777" w:rsidR="00D73EC6" w:rsidRPr="00D73EC6" w:rsidRDefault="00D73EC6" w:rsidP="00D73EC6">
      <w:pPr>
        <w:spacing w:after="0" w:line="480" w:lineRule="auto"/>
        <w:rPr>
          <w:rFonts w:ascii="Times New Roman" w:eastAsia="Times New Roman" w:hAnsi="Times New Roman" w:cs="Times New Roman"/>
          <w:bCs/>
          <w:sz w:val="24"/>
          <w:szCs w:val="24"/>
          <w:lang w:val="en-GB"/>
        </w:rPr>
      </w:pPr>
    </w:p>
    <w:p w14:paraId="71A7919E" w14:textId="77777777" w:rsidR="00D73EC6" w:rsidRPr="00D73EC6" w:rsidRDefault="00D73EC6" w:rsidP="00D73EC6">
      <w:pPr>
        <w:spacing w:after="0" w:line="480" w:lineRule="auto"/>
        <w:rPr>
          <w:rFonts w:ascii="Times New Roman" w:eastAsia="Times New Roman" w:hAnsi="Times New Roman" w:cs="Times New Roman"/>
          <w:b/>
          <w:bCs/>
          <w:i/>
          <w:sz w:val="24"/>
          <w:szCs w:val="24"/>
          <w:lang w:val="en-GB"/>
        </w:rPr>
      </w:pPr>
      <w:r w:rsidRPr="00D73EC6">
        <w:rPr>
          <w:rFonts w:ascii="Times New Roman" w:eastAsia="Times New Roman" w:hAnsi="Times New Roman" w:cs="Times New Roman"/>
          <w:b/>
          <w:bCs/>
          <w:i/>
          <w:sz w:val="24"/>
          <w:szCs w:val="24"/>
          <w:lang w:val="en-GB"/>
        </w:rPr>
        <w:t>Usual care families</w:t>
      </w:r>
    </w:p>
    <w:p w14:paraId="448A51C2" w14:textId="77777777" w:rsidR="00D73EC6" w:rsidRPr="00D73EC6" w:rsidRDefault="00D73EC6" w:rsidP="00D73EC6">
      <w:pPr>
        <w:spacing w:after="0" w:line="480" w:lineRule="auto"/>
        <w:rPr>
          <w:rFonts w:ascii="Times New Roman" w:eastAsia="Times New Roman" w:hAnsi="Times New Roman" w:cs="Times New Roman"/>
          <w:b/>
          <w:sz w:val="24"/>
          <w:szCs w:val="24"/>
          <w:lang w:val="en-GB"/>
        </w:rPr>
      </w:pPr>
      <w:r w:rsidRPr="00D73EC6">
        <w:rPr>
          <w:rFonts w:ascii="Times New Roman" w:eastAsia="Times New Roman" w:hAnsi="Times New Roman" w:cs="Times New Roman"/>
          <w:bCs/>
          <w:sz w:val="24"/>
          <w:szCs w:val="24"/>
          <w:lang w:val="en-GB"/>
        </w:rPr>
        <w:t>Four risk of harm cases were reported in the usual care families at baseline, of these three were related to caregiver suicidality and one was related to severe physical discipline towards children. Eight risk of harm cases were identified at the midline assessments in the usual care families, five related to caregiver suicidality, two related to severe intimate partner violence, and one was related to severe physical discipline towards the children.</w:t>
      </w:r>
    </w:p>
    <w:p w14:paraId="6F31D5AF" w14:textId="77777777" w:rsidR="00285D6C" w:rsidRDefault="00285D6C"/>
    <w:sectPr w:rsidR="00285D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EC6"/>
    <w:rsid w:val="00285D6C"/>
    <w:rsid w:val="005852C1"/>
    <w:rsid w:val="008B78FE"/>
    <w:rsid w:val="00D73E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776E3"/>
  <w15:chartTrackingRefBased/>
  <w15:docId w15:val="{A99A1729-0F18-46D7-9B21-FCB79D87E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142</Words>
  <Characters>815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T. Brennan</dc:creator>
  <cp:keywords/>
  <dc:description/>
  <cp:lastModifiedBy>Sarah Jensen</cp:lastModifiedBy>
  <cp:revision>2</cp:revision>
  <dcterms:created xsi:type="dcterms:W3CDTF">2019-12-20T19:56:00Z</dcterms:created>
  <dcterms:modified xsi:type="dcterms:W3CDTF">2019-12-20T19:56:00Z</dcterms:modified>
</cp:coreProperties>
</file>